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1A90E9FB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</w:t>
      </w:r>
      <w:r w:rsidR="002A7C69">
        <w:rPr>
          <w:rFonts w:ascii="Verdana" w:eastAsia="Verdana" w:hAnsi="Verdana"/>
          <w:b/>
          <w:sz w:val="18"/>
          <w:szCs w:val="18"/>
        </w:rPr>
        <w:t>OPZ</w:t>
      </w:r>
      <w:r w:rsidRPr="00D55F80">
        <w:rPr>
          <w:rFonts w:ascii="Verdana" w:eastAsia="Verdana" w:hAnsi="Verdana"/>
          <w:b/>
          <w:sz w:val="18"/>
          <w:szCs w:val="18"/>
        </w:rPr>
        <w:t xml:space="preserve"> – SZCZEGÓŁOWY OPIS PRZEDMIOTU ZAKUPU</w:t>
      </w:r>
      <w:r w:rsidR="002A7C69">
        <w:rPr>
          <w:rFonts w:ascii="Verdana" w:eastAsia="Verdana" w:hAnsi="Verdana"/>
          <w:b/>
          <w:sz w:val="18"/>
          <w:szCs w:val="18"/>
        </w:rPr>
        <w:t xml:space="preserve"> dla </w:t>
      </w:r>
      <w:r w:rsidR="002A7C69" w:rsidRPr="002A7C69">
        <w:rPr>
          <w:rFonts w:ascii="Verdana" w:eastAsia="Verdana" w:hAnsi="Verdana"/>
          <w:b/>
          <w:color w:val="C00000"/>
          <w:sz w:val="18"/>
          <w:szCs w:val="18"/>
        </w:rPr>
        <w:t>części 5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65665F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508C5905" w14:textId="77777777" w:rsidR="0065665F" w:rsidRPr="004B4087" w:rsidRDefault="0065665F" w:rsidP="0065665F">
      <w:pPr>
        <w:pStyle w:val="Styl2"/>
        <w:keepNext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7A20B012" w14:textId="5347FB9C" w:rsidR="00121410" w:rsidRDefault="0065665F" w:rsidP="0065665F">
      <w:pPr>
        <w:keepNext/>
        <w:ind w:left="426"/>
        <w:rPr>
          <w:rFonts w:ascii="Verdana" w:hAnsi="Verdana"/>
          <w:b/>
          <w:sz w:val="18"/>
          <w:szCs w:val="18"/>
        </w:rPr>
      </w:pPr>
      <w:r w:rsidRPr="0065665F">
        <w:rPr>
          <w:rFonts w:ascii="Verdana" w:hAnsi="Verdana"/>
          <w:b/>
          <w:sz w:val="18"/>
          <w:szCs w:val="18"/>
        </w:rPr>
        <w:t xml:space="preserve">2.  </w:t>
      </w:r>
      <w:r w:rsidR="00121410" w:rsidRPr="0065665F">
        <w:rPr>
          <w:rFonts w:ascii="Verdana" w:hAnsi="Verdana"/>
          <w:b/>
          <w:sz w:val="18"/>
          <w:szCs w:val="18"/>
        </w:rPr>
        <w:t>Zadanie obejmuje:</w:t>
      </w:r>
    </w:p>
    <w:p w14:paraId="4847EE64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b/>
          <w:sz w:val="18"/>
          <w:szCs w:val="18"/>
        </w:rPr>
      </w:pPr>
      <w:r w:rsidRPr="006132D3">
        <w:rPr>
          <w:rFonts w:ascii="Verdana" w:hAnsi="Verdana"/>
          <w:b/>
          <w:sz w:val="18"/>
          <w:szCs w:val="18"/>
        </w:rPr>
        <w:t>Rozłącznik nr 3-R-0452:</w:t>
      </w:r>
    </w:p>
    <w:p w14:paraId="0A913ED5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 xml:space="preserve">- wymiana na istniejącym słupie nr 113 (Wirowany E12/4,3) pozostającym bez zmian, linia napowietrzna 15kV relacji Zduńska Wola – Kozuby, rozłącznika nr 3-R-0150 typu FLA 15/97 na nowy rozłącznik typu Fla 15/97p lub FLA 15/60p </w:t>
      </w:r>
    </w:p>
    <w:p w14:paraId="01243651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65447918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 xml:space="preserve">- wymiana ograniczników przepięć komplet 3 sztuk </w:t>
      </w:r>
    </w:p>
    <w:p w14:paraId="0EE68C5A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wymiana transformatora potrzeb własnych 15,75/0,23 kV</w:t>
      </w:r>
    </w:p>
    <w:p w14:paraId="3DA31696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edycja danych w bazie systemu SCADA, programowanie sterownika, sprawdzenie funkcjonalne wraz z jego uruchomieniem, w pełnym zakresie oraz dostosowaniem sterowania, telemechaniki oraz systemu łączności</w:t>
      </w:r>
    </w:p>
    <w:p w14:paraId="34A653AE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sprawdzenie i poprawa do wymaganej wartości uziemienia stanowiska słupowego z rozłącznikiem</w:t>
      </w:r>
    </w:p>
    <w:p w14:paraId="6BE51638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zanumerowanie słupa oraz rozłącznika, zgodnie z ustaleniami w Rejonie Energetycznym</w:t>
      </w:r>
    </w:p>
    <w:p w14:paraId="4E9264A5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podłączenie i praca agregatów prądotwórczych – 3 szt., na stacjach transformatorowych: Brzeski 1 nr 3-0413, Podule 1 nr 3-0411, Grabia 1 nr 3-0387.</w:t>
      </w:r>
    </w:p>
    <w:p w14:paraId="612BE2FC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b/>
          <w:sz w:val="18"/>
          <w:szCs w:val="18"/>
        </w:rPr>
      </w:pPr>
      <w:r w:rsidRPr="006132D3">
        <w:rPr>
          <w:rFonts w:ascii="Verdana" w:hAnsi="Verdana"/>
          <w:b/>
          <w:sz w:val="18"/>
          <w:szCs w:val="18"/>
        </w:rPr>
        <w:t>Rozłącznik nr 3-R-1602:</w:t>
      </w:r>
    </w:p>
    <w:p w14:paraId="6BAFBD9A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color w:val="FF0000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wymiana na istniejącym słupie nr 92 (wirowany E12/17,5)</w:t>
      </w:r>
      <w:r w:rsidRPr="006132D3">
        <w:rPr>
          <w:rFonts w:ascii="Verdana" w:hAnsi="Verdana"/>
          <w:b/>
          <w:sz w:val="18"/>
          <w:szCs w:val="18"/>
        </w:rPr>
        <w:t xml:space="preserve"> </w:t>
      </w:r>
      <w:r w:rsidRPr="006132D3">
        <w:rPr>
          <w:rFonts w:ascii="Verdana" w:hAnsi="Verdana"/>
          <w:sz w:val="18"/>
          <w:szCs w:val="18"/>
        </w:rPr>
        <w:t xml:space="preserve">pozostającym bez zmian, linia napowietrzna 15kV relacji Zduńska Wola – Łask, rozłącznika nr 3-R-1602 typu FLA 15/97p na nowy rozłącznik typu Fla 15/97p lub FLA 15/60p </w:t>
      </w:r>
    </w:p>
    <w:p w14:paraId="5009B7E7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nowy rozłącznik wyposażony w napęd obrotowy, szafę telemechaniki z napędem Lo-2, sterownik, zasilacz, akumulatory, komplet przegubów i cięgieł do napędu obrotowego, uchwyty do mocowania szafki napędu, antenę kierunkową GSM z kablem i uchwytem wzmacniana dla energetyki,</w:t>
      </w:r>
    </w:p>
    <w:p w14:paraId="1FE0F59B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 xml:space="preserve">- wymiana ograniczników przepięć komplet 3 sztuk </w:t>
      </w:r>
    </w:p>
    <w:p w14:paraId="143B093D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wymiana transformatora potrzeb własnych 15,75/0,23 kV</w:t>
      </w:r>
    </w:p>
    <w:p w14:paraId="37DE190A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edycja danych w bazie systemu SCADA, programowanie strownika, sprawdzenie funkcjonalne wraz z jego uruchomieniem, w pełnym zakresie oraz dostosowaniem sterowania, telemechaniki oraz systemu łączności</w:t>
      </w:r>
    </w:p>
    <w:p w14:paraId="5E737118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sprawdzenie i poprawa do wymaganej wartości uziemienia stanowiska słupowego z rozłącznikiem</w:t>
      </w:r>
    </w:p>
    <w:p w14:paraId="0DC6851B" w14:textId="77777777" w:rsidR="006132D3" w:rsidRPr="006132D3" w:rsidRDefault="006132D3" w:rsidP="006132D3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6132D3">
        <w:rPr>
          <w:rFonts w:ascii="Verdana" w:hAnsi="Verdana"/>
          <w:sz w:val="18"/>
          <w:szCs w:val="18"/>
        </w:rPr>
        <w:t>- zanumerowanie słupa oraz rozłącznika, zgodnie z ustaleniami w Rejonie Energetycznym</w:t>
      </w:r>
    </w:p>
    <w:p w14:paraId="71991297" w14:textId="77777777" w:rsidR="006132D3" w:rsidRPr="0065665F" w:rsidRDefault="006132D3" w:rsidP="0065665F">
      <w:pPr>
        <w:keepNext/>
        <w:ind w:left="426"/>
        <w:rPr>
          <w:rFonts w:ascii="Verdana" w:hAnsi="Verdana"/>
          <w:b/>
          <w:sz w:val="18"/>
          <w:szCs w:val="18"/>
        </w:rPr>
      </w:pPr>
    </w:p>
    <w:p w14:paraId="1F87CE21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b/>
          <w:sz w:val="18"/>
          <w:szCs w:val="18"/>
        </w:rPr>
      </w:pPr>
      <w:r w:rsidRPr="00F34751">
        <w:rPr>
          <w:rFonts w:ascii="Verdana" w:hAnsi="Verdana"/>
          <w:b/>
          <w:sz w:val="18"/>
          <w:szCs w:val="18"/>
        </w:rPr>
        <w:t>Wymagane parametry zasilacza, telemechaniki i modułu łączności dla wszystkich rozłączników:</w:t>
      </w:r>
    </w:p>
    <w:p w14:paraId="37FB82F5" w14:textId="77777777" w:rsidR="00F34751" w:rsidRPr="00F34751" w:rsidRDefault="00F34751" w:rsidP="00F34751">
      <w:pPr>
        <w:pStyle w:val="KZnum2"/>
        <w:numPr>
          <w:ilvl w:val="0"/>
          <w:numId w:val="40"/>
        </w:numPr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b/>
          <w:sz w:val="18"/>
          <w:szCs w:val="18"/>
        </w:rPr>
      </w:pPr>
      <w:r w:rsidRPr="00F34751">
        <w:rPr>
          <w:rFonts w:ascii="Verdana" w:hAnsi="Verdana"/>
          <w:b/>
          <w:sz w:val="18"/>
          <w:szCs w:val="18"/>
        </w:rPr>
        <w:t>Zasilacz</w:t>
      </w:r>
    </w:p>
    <w:p w14:paraId="46DBC8F8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 xml:space="preserve">Zasilacz przeznaczony do współpracy z urządzeniami obiektowymi zasilanymi napięciem 24V </w:t>
      </w:r>
    </w:p>
    <w:p w14:paraId="78B9B55F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 xml:space="preserve">DC i 12V DC. </w:t>
      </w:r>
    </w:p>
    <w:p w14:paraId="076FF134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 xml:space="preserve">Współpracujący z akumulatorami żelowymi/AGM pozwalający na pracę urządzeń </w:t>
      </w:r>
    </w:p>
    <w:p w14:paraId="6C851CBF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lastRenderedPageBreak/>
        <w:t xml:space="preserve">w przypadku zaniku zewnętrznego napięcia zasilania. </w:t>
      </w:r>
    </w:p>
    <w:p w14:paraId="49ACC8D1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 xml:space="preserve">Pozwalający na bieżąco kontrolować stan podłączonych baterii i temperatury. </w:t>
      </w:r>
    </w:p>
    <w:p w14:paraId="04A0D677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 xml:space="preserve">Wyposażony w kanał szeregowy , komunikuje się ze sterownikiem telemechaniki umożliwiający przesyłanie danych o stanie zasilania zewnętrznego, wartość napięcia akumulatorów, prądu ładowania/rozładowania </w:t>
      </w:r>
    </w:p>
    <w:p w14:paraId="29505339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do systemu SCADA</w:t>
      </w:r>
    </w:p>
    <w:p w14:paraId="099569D5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Zdalny test baterii</w:t>
      </w:r>
    </w:p>
    <w:p w14:paraId="4409C5BA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</w:p>
    <w:p w14:paraId="45F356FF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Przykładowe produkty spełniające powyższe wymagania:</w:t>
      </w:r>
    </w:p>
    <w:p w14:paraId="235D5A17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Producent Technitel – zasilacz PANUPS</w:t>
      </w:r>
    </w:p>
    <w:p w14:paraId="4F55FBF2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30AF59B8" w14:textId="77777777" w:rsidR="00F34751" w:rsidRPr="00F34751" w:rsidRDefault="00F34751" w:rsidP="00F34751">
      <w:pPr>
        <w:pStyle w:val="KZnum2"/>
        <w:numPr>
          <w:ilvl w:val="0"/>
          <w:numId w:val="40"/>
        </w:numPr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b/>
          <w:sz w:val="18"/>
          <w:szCs w:val="18"/>
        </w:rPr>
      </w:pPr>
      <w:r w:rsidRPr="00F34751">
        <w:rPr>
          <w:rFonts w:ascii="Verdana" w:hAnsi="Verdana"/>
          <w:b/>
          <w:sz w:val="18"/>
          <w:szCs w:val="18"/>
        </w:rPr>
        <w:t>Telemechanika</w:t>
      </w:r>
    </w:p>
    <w:p w14:paraId="5211A369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Sterowanie rozłącznikiem</w:t>
      </w:r>
    </w:p>
    <w:p w14:paraId="09B6DC7F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Pomiary napięć i prądów fazowych, mocy</w:t>
      </w:r>
    </w:p>
    <w:p w14:paraId="4735B673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 xml:space="preserve">Sterowania, </w:t>
      </w:r>
    </w:p>
    <w:p w14:paraId="72A52A19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Sygnalizacja</w:t>
      </w:r>
    </w:p>
    <w:p w14:paraId="454CF67F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Wskaźnik zwarć</w:t>
      </w:r>
    </w:p>
    <w:p w14:paraId="349931E4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</w:p>
    <w:p w14:paraId="741BC3CD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Przykładowy produkt spełniający powyższe wymagania dla rozłączników:</w:t>
      </w:r>
    </w:p>
    <w:p w14:paraId="683396B7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Producent Technitel – sterownik Panda</w:t>
      </w:r>
    </w:p>
    <w:p w14:paraId="1E29E571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4853D64C" w14:textId="77777777" w:rsidR="00F34751" w:rsidRPr="00F34751" w:rsidRDefault="00F34751" w:rsidP="00F34751">
      <w:pPr>
        <w:pStyle w:val="KZnum2"/>
        <w:numPr>
          <w:ilvl w:val="0"/>
          <w:numId w:val="40"/>
        </w:numPr>
        <w:pBdr>
          <w:bottom w:val="dashSmallGap" w:sz="4" w:space="1" w:color="auto"/>
          <w:between w:val="dashSmallGap" w:sz="4" w:space="1" w:color="auto"/>
        </w:pBdr>
        <w:jc w:val="both"/>
        <w:rPr>
          <w:rFonts w:ascii="Verdana" w:hAnsi="Verdana"/>
          <w:b/>
          <w:sz w:val="18"/>
          <w:szCs w:val="18"/>
        </w:rPr>
      </w:pPr>
      <w:r w:rsidRPr="00F34751">
        <w:rPr>
          <w:rFonts w:ascii="Verdana" w:hAnsi="Verdana"/>
          <w:b/>
          <w:sz w:val="18"/>
          <w:szCs w:val="18"/>
        </w:rPr>
        <w:t>Moduł łączności</w:t>
      </w:r>
    </w:p>
    <w:p w14:paraId="53510EEE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Router GSM</w:t>
      </w:r>
    </w:p>
    <w:p w14:paraId="67B69AD3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2 karty SIM z redundancją</w:t>
      </w:r>
    </w:p>
    <w:p w14:paraId="635E6CBD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Przynajmniej 1 wejście antenowe</w:t>
      </w:r>
    </w:p>
    <w:p w14:paraId="387E7191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GSM/GPRS/EDGE/WC DMA/HSDPA/HSUPA/LTE dodatkowe punkty za obsługę LTE 450</w:t>
      </w:r>
    </w:p>
    <w:p w14:paraId="65D79885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IPsec/VPN/GRE/L2TP/PPTP</w:t>
      </w:r>
    </w:p>
    <w:p w14:paraId="1B032626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Przygotowany do pracy w sieci LTE</w:t>
      </w:r>
    </w:p>
    <w:p w14:paraId="62DB2EA2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Zarządzanie i konserwacja przez Web/CLI/SMS/SNMP</w:t>
      </w:r>
    </w:p>
    <w:p w14:paraId="0D98EADA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Alarmowanie przez SMS/Email/SNMP trap</w:t>
      </w:r>
    </w:p>
    <w:p w14:paraId="3E76532F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Montaż na szynie DIN</w:t>
      </w:r>
    </w:p>
    <w:p w14:paraId="5C620F6F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Możliwość zrestartowania urządzenia poprzez SMS/w zaprogramowanym czasie</w:t>
      </w:r>
    </w:p>
    <w:p w14:paraId="38F6FB9A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  <w:lang w:val="en-GB"/>
        </w:rPr>
      </w:pPr>
      <w:r w:rsidRPr="00F34751">
        <w:rPr>
          <w:rFonts w:ascii="Verdana" w:hAnsi="Verdana"/>
          <w:sz w:val="18"/>
          <w:szCs w:val="18"/>
          <w:lang w:val="en-GB"/>
        </w:rPr>
        <w:t>Interfejs ETH 1 x 10/100 Mbps</w:t>
      </w:r>
    </w:p>
    <w:p w14:paraId="761F1A75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  <w:lang w:val="en-GB"/>
        </w:rPr>
      </w:pPr>
      <w:r w:rsidRPr="00F34751">
        <w:rPr>
          <w:rFonts w:ascii="Verdana" w:hAnsi="Verdana"/>
          <w:sz w:val="18"/>
          <w:szCs w:val="18"/>
          <w:lang w:val="en-GB"/>
        </w:rPr>
        <w:t>RS 232, 300 bps to 230400 bps</w:t>
      </w:r>
    </w:p>
    <w:p w14:paraId="224700B4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  <w:lang w:val="en-GB"/>
        </w:rPr>
      </w:pPr>
      <w:r w:rsidRPr="00F34751">
        <w:rPr>
          <w:rFonts w:ascii="Verdana" w:hAnsi="Verdana"/>
          <w:sz w:val="18"/>
          <w:szCs w:val="18"/>
          <w:lang w:val="en-GB"/>
        </w:rPr>
        <w:t>RS 485, 300 bps to 230400 bps</w:t>
      </w:r>
    </w:p>
    <w:p w14:paraId="18F2B928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  <w:lang w:val="en-GB"/>
        </w:rPr>
      </w:pPr>
      <w:r w:rsidRPr="00F34751">
        <w:rPr>
          <w:rFonts w:ascii="Verdana" w:hAnsi="Verdana"/>
          <w:sz w:val="18"/>
          <w:szCs w:val="18"/>
          <w:lang w:val="en-GB"/>
        </w:rPr>
        <w:t xml:space="preserve">USB </w:t>
      </w:r>
    </w:p>
    <w:p w14:paraId="32B5FD1D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  <w:lang w:val="en-GB"/>
        </w:rPr>
      </w:pPr>
      <w:r w:rsidRPr="00F34751">
        <w:rPr>
          <w:rFonts w:ascii="Verdana" w:hAnsi="Verdana"/>
          <w:sz w:val="18"/>
          <w:szCs w:val="18"/>
          <w:lang w:val="en-GB"/>
        </w:rPr>
        <w:t>Protokoły PPP, PPPoE, TCP, UDP, DHCP, ICMP, NAT, HTTP,</w:t>
      </w:r>
    </w:p>
    <w:p w14:paraId="0ABC0340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  <w:lang w:val="en-GB"/>
        </w:rPr>
      </w:pPr>
      <w:r w:rsidRPr="00F34751">
        <w:rPr>
          <w:rFonts w:ascii="Verdana" w:hAnsi="Verdana"/>
          <w:sz w:val="18"/>
          <w:szCs w:val="18"/>
          <w:lang w:val="en-GB"/>
        </w:rPr>
        <w:t>HTTPs, DNS, ARP, NTP, SMTP, Telnet, VLAN,</w:t>
      </w:r>
    </w:p>
    <w:p w14:paraId="69D56D30" w14:textId="77777777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SSH2, DDNS, etc.</w:t>
      </w:r>
    </w:p>
    <w:p w14:paraId="7CE0CF88" w14:textId="63846F42" w:rsidR="00FF237D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rPr>
          <w:rFonts w:ascii="Verdana" w:hAnsi="Verdana"/>
          <w:sz w:val="18"/>
          <w:szCs w:val="18"/>
        </w:rPr>
      </w:pPr>
      <w:r w:rsidRPr="00F34751">
        <w:rPr>
          <w:rFonts w:ascii="Verdana" w:hAnsi="Verdana"/>
          <w:sz w:val="18"/>
          <w:szCs w:val="18"/>
        </w:rPr>
        <w:t>Porty szeregowe tryby pracy przeźroczysty, TCP Client/Server , UDP</w:t>
      </w:r>
    </w:p>
    <w:p w14:paraId="79A086D4" w14:textId="77777777" w:rsidR="00F34751" w:rsidRDefault="00F34751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21349763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</w:t>
      </w:r>
      <w:r w:rsidRPr="004B4087">
        <w:rPr>
          <w:rFonts w:ascii="Verdana" w:hAnsi="Verdana" w:cs="Calibri"/>
          <w:sz w:val="18"/>
          <w:szCs w:val="18"/>
        </w:rPr>
        <w:lastRenderedPageBreak/>
        <w:t>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1C79B27D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F34751">
        <w:rPr>
          <w:rFonts w:ascii="Verdana" w:hAnsi="Verdana" w:cs="Calibri"/>
          <w:color w:val="FF0000"/>
          <w:sz w:val="18"/>
          <w:szCs w:val="18"/>
        </w:rPr>
        <w:t>3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.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0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0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1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1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77777777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8B3D6A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8B3D6A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samodopuszczeń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wskazanych poniżej przez Zamawiającego. </w:t>
      </w:r>
    </w:p>
    <w:p w14:paraId="4EC0CA7F" w14:textId="77777777" w:rsidR="00270EDF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wskazane przez Zamawiającego do zasilania jednostkami prądotwórczymi:</w:t>
      </w:r>
    </w:p>
    <w:p w14:paraId="23F85637" w14:textId="77777777" w:rsidR="00F34751" w:rsidRDefault="00F34751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</w:p>
    <w:p w14:paraId="4DA3058C" w14:textId="64740FA5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ind w:left="1134"/>
        <w:jc w:val="both"/>
        <w:rPr>
          <w:rFonts w:ascii="Verdana" w:hAnsi="Verdana"/>
          <w:b/>
          <w:sz w:val="18"/>
          <w:szCs w:val="18"/>
        </w:rPr>
      </w:pPr>
      <w:r w:rsidRPr="00F34751">
        <w:rPr>
          <w:rFonts w:ascii="Verdana" w:hAnsi="Verdana"/>
          <w:b/>
          <w:sz w:val="18"/>
          <w:szCs w:val="18"/>
        </w:rPr>
        <w:t>Rozłącznik nr 3-R-</w:t>
      </w:r>
      <w:r w:rsidR="006132D3">
        <w:rPr>
          <w:rFonts w:ascii="Verdana" w:hAnsi="Verdana"/>
          <w:b/>
          <w:sz w:val="18"/>
          <w:szCs w:val="18"/>
        </w:rPr>
        <w:t>0452</w:t>
      </w:r>
      <w:r w:rsidRPr="00F34751">
        <w:rPr>
          <w:rFonts w:ascii="Verdana" w:hAnsi="Verdana"/>
          <w:b/>
          <w:sz w:val="18"/>
          <w:szCs w:val="18"/>
        </w:rPr>
        <w:t>:</w:t>
      </w:r>
    </w:p>
    <w:p w14:paraId="605C15A8" w14:textId="4AA0D1FA" w:rsidR="00F34751" w:rsidRDefault="006132D3" w:rsidP="00F34751">
      <w:pPr>
        <w:pStyle w:val="Akapitzlist"/>
        <w:numPr>
          <w:ilvl w:val="0"/>
          <w:numId w:val="41"/>
        </w:numPr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Brzeski 1</w:t>
      </w:r>
      <w:r w:rsidR="00F34751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nr 3-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0413</w:t>
      </w:r>
      <w:r w:rsidR="00401B9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160 kVA,</w:t>
      </w:r>
    </w:p>
    <w:p w14:paraId="63AB90AA" w14:textId="5E2B9FDD" w:rsidR="00F34751" w:rsidRDefault="006132D3" w:rsidP="00F34751">
      <w:pPr>
        <w:pStyle w:val="Akapitzlist"/>
        <w:numPr>
          <w:ilvl w:val="0"/>
          <w:numId w:val="41"/>
        </w:numPr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proofErr w:type="spellStart"/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Podule</w:t>
      </w:r>
      <w:proofErr w:type="spellEnd"/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1</w:t>
      </w:r>
      <w:r w:rsidR="00F34751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nr 3-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0411</w:t>
      </w:r>
      <w:r w:rsidR="00401B9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100 kVA,</w:t>
      </w:r>
    </w:p>
    <w:p w14:paraId="535960D1" w14:textId="4F7806A1" w:rsidR="00F34751" w:rsidRDefault="006132D3" w:rsidP="00F34751">
      <w:pPr>
        <w:pStyle w:val="Akapitzlist"/>
        <w:numPr>
          <w:ilvl w:val="0"/>
          <w:numId w:val="41"/>
        </w:numPr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proofErr w:type="spellStart"/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Grabia</w:t>
      </w:r>
      <w:proofErr w:type="spellEnd"/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1</w:t>
      </w:r>
      <w:r w:rsidR="00F34751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nr 3-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0387</w:t>
      </w:r>
      <w:r w:rsidR="00401B9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63 kVA.</w:t>
      </w:r>
    </w:p>
    <w:p w14:paraId="0E476936" w14:textId="78E17F14" w:rsidR="00F34751" w:rsidRPr="00F34751" w:rsidRDefault="00F34751" w:rsidP="00F34751">
      <w:pPr>
        <w:pStyle w:val="KZnum2"/>
        <w:pBdr>
          <w:bottom w:val="dashSmallGap" w:sz="4" w:space="1" w:color="auto"/>
          <w:between w:val="dashSmallGap" w:sz="4" w:space="1" w:color="auto"/>
        </w:pBdr>
        <w:ind w:left="1080"/>
        <w:jc w:val="both"/>
        <w:rPr>
          <w:rFonts w:ascii="Verdana" w:hAnsi="Verdana"/>
          <w:b/>
          <w:sz w:val="18"/>
          <w:szCs w:val="18"/>
        </w:rPr>
      </w:pPr>
      <w:r w:rsidRPr="00F34751">
        <w:rPr>
          <w:rFonts w:ascii="Verdana" w:hAnsi="Verdana"/>
          <w:b/>
          <w:sz w:val="18"/>
          <w:szCs w:val="18"/>
        </w:rPr>
        <w:t>Rozłącznik nr 3-R-</w:t>
      </w:r>
      <w:r w:rsidR="006132D3">
        <w:rPr>
          <w:rFonts w:ascii="Verdana" w:hAnsi="Verdana"/>
          <w:b/>
          <w:sz w:val="18"/>
          <w:szCs w:val="18"/>
        </w:rPr>
        <w:t>1602</w:t>
      </w:r>
      <w:r w:rsidRPr="00F34751">
        <w:rPr>
          <w:rFonts w:ascii="Verdana" w:hAnsi="Verdana"/>
          <w:b/>
          <w:sz w:val="18"/>
          <w:szCs w:val="18"/>
        </w:rPr>
        <w:t>:</w:t>
      </w:r>
    </w:p>
    <w:p w14:paraId="71620C53" w14:textId="2A6F8EAD" w:rsidR="006132D3" w:rsidRPr="006132D3" w:rsidRDefault="006132D3" w:rsidP="006132D3">
      <w:pPr>
        <w:pStyle w:val="Styl2"/>
        <w:numPr>
          <w:ilvl w:val="0"/>
          <w:numId w:val="43"/>
        </w:numPr>
        <w:rPr>
          <w:rFonts w:ascii="Verdana" w:hAnsi="Verdana"/>
          <w:color w:val="FF0000"/>
          <w:sz w:val="18"/>
          <w:szCs w:val="18"/>
        </w:rPr>
      </w:pPr>
      <w:r w:rsidRPr="006132D3">
        <w:rPr>
          <w:rFonts w:ascii="Verdana" w:hAnsi="Verdana"/>
          <w:color w:val="FF0000"/>
          <w:sz w:val="18"/>
          <w:szCs w:val="18"/>
        </w:rPr>
        <w:t>brak</w:t>
      </w:r>
    </w:p>
    <w:p w14:paraId="0958C505" w14:textId="7DD50D09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</w:t>
      </w:r>
      <w:r w:rsidR="0047324A" w:rsidRPr="004B4087">
        <w:rPr>
          <w:rFonts w:ascii="Verdana" w:hAnsi="Verdana"/>
          <w:sz w:val="18"/>
          <w:szCs w:val="18"/>
        </w:rPr>
        <w:lastRenderedPageBreak/>
        <w:t xml:space="preserve">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77777777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łączników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B9AD" w14:textId="77777777" w:rsidR="00E707C1" w:rsidRDefault="00E707C1">
      <w:r>
        <w:separator/>
      </w:r>
    </w:p>
  </w:endnote>
  <w:endnote w:type="continuationSeparator" w:id="0">
    <w:p w14:paraId="5E3330E7" w14:textId="77777777" w:rsidR="00E707C1" w:rsidRDefault="00E7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75B5" w14:textId="77777777" w:rsidR="00E707C1" w:rsidRDefault="00E707C1">
      <w:r>
        <w:separator/>
      </w:r>
    </w:p>
  </w:footnote>
  <w:footnote w:type="continuationSeparator" w:id="0">
    <w:p w14:paraId="373D2F4A" w14:textId="77777777" w:rsidR="00E707C1" w:rsidRDefault="00E7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B93A753" w14:textId="03A1C372" w:rsidR="006E5BE4" w:rsidRPr="006B2C28" w:rsidRDefault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2A7C69">
            <w:rPr>
              <w:rFonts w:asciiTheme="majorHAnsi" w:hAnsiTheme="majorHAnsi"/>
              <w:color w:val="000000" w:themeColor="text1"/>
              <w:sz w:val="14"/>
              <w:szCs w:val="18"/>
            </w:rPr>
            <w:t>04380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3F7D5D67"/>
    <w:multiLevelType w:val="hybridMultilevel"/>
    <w:tmpl w:val="DE7E0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314794"/>
    <w:multiLevelType w:val="hybridMultilevel"/>
    <w:tmpl w:val="E9B8E418"/>
    <w:lvl w:ilvl="0" w:tplc="1A801F00">
      <w:start w:val="1"/>
      <w:numFmt w:val="decimal"/>
      <w:lvlText w:val="%1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8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9" w15:restartNumberingAfterBreak="0">
    <w:nsid w:val="51A1582B"/>
    <w:multiLevelType w:val="hybridMultilevel"/>
    <w:tmpl w:val="D4B6DD06"/>
    <w:lvl w:ilvl="0" w:tplc="DC3688F6">
      <w:start w:val="2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2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5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6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9B96ECB"/>
    <w:multiLevelType w:val="hybridMultilevel"/>
    <w:tmpl w:val="D4348F86"/>
    <w:lvl w:ilvl="0" w:tplc="EB8631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1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4"/>
  </w:num>
  <w:num w:numId="2" w16cid:durableId="1417820511">
    <w:abstractNumId w:val="75"/>
  </w:num>
  <w:num w:numId="3" w16cid:durableId="823743319">
    <w:abstractNumId w:val="80"/>
  </w:num>
  <w:num w:numId="4" w16cid:durableId="1847404749">
    <w:abstractNumId w:val="85"/>
  </w:num>
  <w:num w:numId="5" w16cid:durableId="677080652">
    <w:abstractNumId w:val="73"/>
  </w:num>
  <w:num w:numId="6" w16cid:durableId="1655571189">
    <w:abstractNumId w:val="82"/>
  </w:num>
  <w:num w:numId="7" w16cid:durableId="1378819927">
    <w:abstractNumId w:val="90"/>
  </w:num>
  <w:num w:numId="8" w16cid:durableId="1991982605">
    <w:abstractNumId w:val="88"/>
  </w:num>
  <w:num w:numId="9" w16cid:durableId="1550798966">
    <w:abstractNumId w:val="61"/>
  </w:num>
  <w:num w:numId="10" w16cid:durableId="1858890239">
    <w:abstractNumId w:val="87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6"/>
  </w:num>
  <w:num w:numId="16" w16cid:durableId="65617422">
    <w:abstractNumId w:val="83"/>
  </w:num>
  <w:num w:numId="17" w16cid:durableId="29684214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6"/>
  </w:num>
  <w:num w:numId="20" w16cid:durableId="1289386980">
    <w:abstractNumId w:val="62"/>
  </w:num>
  <w:num w:numId="21" w16cid:durableId="445348233">
    <w:abstractNumId w:val="74"/>
  </w:num>
  <w:num w:numId="22" w16cid:durableId="1407847408">
    <w:abstractNumId w:val="69"/>
  </w:num>
  <w:num w:numId="23" w16cid:durableId="1155956086">
    <w:abstractNumId w:val="60"/>
  </w:num>
  <w:num w:numId="24" w16cid:durableId="224265543">
    <w:abstractNumId w:val="86"/>
  </w:num>
  <w:num w:numId="25" w16cid:durableId="710225115">
    <w:abstractNumId w:val="72"/>
  </w:num>
  <w:num w:numId="26" w16cid:durableId="1534734910">
    <w:abstractNumId w:val="54"/>
  </w:num>
  <w:num w:numId="27" w16cid:durableId="1407536372">
    <w:abstractNumId w:val="77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8"/>
  </w:num>
  <w:num w:numId="33" w16cid:durableId="443961775">
    <w:abstractNumId w:val="66"/>
  </w:num>
  <w:num w:numId="34" w16cid:durableId="874393811">
    <w:abstractNumId w:val="81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91"/>
  </w:num>
  <w:num w:numId="38" w16cid:durableId="1316035656">
    <w:abstractNumId w:val="70"/>
  </w:num>
  <w:num w:numId="39" w16cid:durableId="138889105">
    <w:abstractNumId w:val="56"/>
  </w:num>
  <w:num w:numId="40" w16cid:durableId="1652054260">
    <w:abstractNumId w:val="68"/>
  </w:num>
  <w:num w:numId="41" w16cid:durableId="404299077">
    <w:abstractNumId w:val="71"/>
  </w:num>
  <w:num w:numId="42" w16cid:durableId="1745451606">
    <w:abstractNumId w:val="89"/>
  </w:num>
  <w:num w:numId="43" w16cid:durableId="579751059">
    <w:abstractNumId w:val="7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B6DB8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C69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A93"/>
    <w:rsid w:val="003F64CC"/>
    <w:rsid w:val="003F7C23"/>
    <w:rsid w:val="004000CC"/>
    <w:rsid w:val="00400AD7"/>
    <w:rsid w:val="00400DFA"/>
    <w:rsid w:val="00401116"/>
    <w:rsid w:val="00401B9E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32D3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65F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4A62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37924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67341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D780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E7CF9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07AE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4751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37F9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  <w:style w:type="paragraph" w:customStyle="1" w:styleId="KZnum2">
    <w:name w:val="KZnum2"/>
    <w:basedOn w:val="Normalny"/>
    <w:qFormat/>
    <w:rsid w:val="00967341"/>
    <w:pPr>
      <w:tabs>
        <w:tab w:val="left" w:pos="567"/>
      </w:tabs>
      <w:spacing w:after="0"/>
      <w:ind w:left="0" w:firstLine="0"/>
      <w:contextualSpacing/>
      <w:jc w:val="left"/>
    </w:pPr>
    <w:rPr>
      <w:rFonts w:ascii="Arial" w:eastAsia="Calibri" w:hAnsi="Arial" w:cs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SWZ_reklozer 2026.docx</dmsv2BaseFileName>
    <dmsv2BaseDisplayName xmlns="http://schemas.microsoft.com/sharepoint/v3">Załącznik nr 1.3  do SWZ_reklozer 2026</dmsv2BaseDisplayName>
    <dmsv2SWPP2ObjectNumber xmlns="http://schemas.microsoft.com/sharepoint/v3" xsi:nil="true"/>
    <dmsv2SWPP2SumMD5 xmlns="http://schemas.microsoft.com/sharepoint/v3">30e95a3f6780b4099a3f8a9112723ca6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699412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23767357</dmsv2BaseClientSystemDocumentID>
    <dmsv2BaseModifiedByID xmlns="http://schemas.microsoft.com/sharepoint/v3">11704639</dmsv2BaseModifiedByID>
    <dmsv2BaseCreatedByID xmlns="http://schemas.microsoft.com/sharepoint/v3">11704639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DPFVW34YURAE-1996658973-1009</_dlc_DocId>
    <_dlc_DocIdUrl xmlns="a19cb1c7-c5c7-46d4-85ae-d83685407bba">
      <Url>https://swpp2.dms.gkpge.pl/sites/40/_layouts/15/DocIdRedir.aspx?ID=DPFVW34YURAE-1996658973-1009</Url>
      <Description>DPFVW34YURAE-1996658973-1009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D8B6C6-AE41-407E-9B93-BBE42236DD0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3A3F6F8-B55E-4C6E-93E0-5582F9957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3EAAFF-416A-46E6-826B-5E34BA53A73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55299B4-2581-4845-9554-3754949AF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1851</Words>
  <Characters>12934</Characters>
  <Application>Microsoft Office Word</Application>
  <DocSecurity>0</DocSecurity>
  <Lines>107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14</cp:revision>
  <cp:lastPrinted>2011-10-20T15:55:00Z</cp:lastPrinted>
  <dcterms:created xsi:type="dcterms:W3CDTF">2025-03-03T08:26:00Z</dcterms:created>
  <dcterms:modified xsi:type="dcterms:W3CDTF">2025-12-04T11:53:00Z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b203c8a0-daa4-4a5e-a9f7-0ffbf1d5f942</vt:lpwstr>
  </property>
</Properties>
</file>